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4AB40E8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7AFCAE35">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789D5063">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621EAE3">
      <w:pPr>
        <w:pStyle w:val="196"/>
        <w:framePr w:wrap="around"/>
      </w:pPr>
      <w:r>
        <w:t>Q/</w:t>
      </w:r>
      <w:bookmarkStart w:id="1" w:name="文字1"/>
      <w:r>
        <w:rPr>
          <w:rFonts w:hint="eastAsia"/>
        </w:rPr>
        <w:fldChar w:fldCharType="begin">
          <w:ffData>
            <w:name w:val="文字1"/>
            <w:enabled/>
            <w:calcOnExit w:val="0"/>
            <w:textInput>
              <w:default w:val="YLBZ 19"/>
            </w:textInput>
          </w:ffData>
        </w:fldChar>
      </w:r>
      <w:r>
        <w:rPr>
          <w:rFonts w:hint="eastAsia"/>
        </w:rPr>
        <w:instrText xml:space="preserve">FORMTEXT</w:instrText>
      </w:r>
      <w:r>
        <w:rPr>
          <w:rFonts w:hint="eastAsia"/>
        </w:rPr>
        <w:fldChar w:fldCharType="separate"/>
      </w:r>
      <w:r>
        <w:rPr>
          <w:rFonts w:hint="eastAsia"/>
        </w:rPr>
        <w:t>YLBZ 19</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E3CE94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CED27E">
      <w:pPr>
        <w:pStyle w:val="51"/>
        <w:framePr w:w="9639" w:h="6976" w:hRule="exact" w:hSpace="0" w:vSpace="0" w:wrap="around" w:hAnchor="page" w:y="6408"/>
        <w:jc w:val="center"/>
        <w:rPr>
          <w:rFonts w:hint="eastAsia" w:ascii="黑体" w:hAnsi="黑体" w:eastAsia="黑体"/>
          <w:b w:val="0"/>
          <w:bCs w:val="0"/>
          <w:w w:val="100"/>
        </w:rPr>
      </w:pPr>
    </w:p>
    <w:p w14:paraId="166DE300">
      <w:pPr>
        <w:pStyle w:val="198"/>
        <w:framePr w:h="6974" w:hRule="exact" w:wrap="around" w:x="1419" w:anchorLock="1"/>
        <w:rPr>
          <w:rFonts w:hint="eastAsia"/>
        </w:rPr>
      </w:pPr>
      <w:r>
        <w:rPr>
          <w:rFonts w:hint="eastAsia"/>
        </w:rPr>
        <w:t>医疗个人帐户发放账户维护申请工作指南</w:t>
      </w:r>
    </w:p>
    <w:p w14:paraId="10AA2575">
      <w:pPr>
        <w:framePr w:w="9639" w:h="6974" w:hRule="exact" w:wrap="around" w:vAnchor="page" w:hAnchor="page" w:x="1419" w:y="6408" w:anchorLock="1"/>
        <w:ind w:left="-1418"/>
      </w:pPr>
    </w:p>
    <w:p w14:paraId="6A6BC4A8">
      <w:pPr>
        <w:pStyle w:val="126"/>
        <w:framePr w:w="9639" w:h="6974" w:hRule="exact" w:wrap="around" w:vAnchor="page" w:hAnchor="page" w:x="1419" w:y="6408" w:anchorLock="1"/>
        <w:textAlignment w:val="bottom"/>
        <w:rPr>
          <w:rFonts w:eastAsia="黑体"/>
          <w:szCs w:val="28"/>
        </w:rPr>
      </w:pPr>
    </w:p>
    <w:p w14:paraId="436441FD">
      <w:pPr>
        <w:framePr w:w="9639" w:h="6974" w:hRule="exact" w:wrap="around" w:vAnchor="page" w:hAnchor="page" w:x="1419" w:y="6408" w:anchorLock="1"/>
        <w:spacing w:line="760" w:lineRule="exact"/>
        <w:ind w:left="-1418"/>
      </w:pPr>
    </w:p>
    <w:p w14:paraId="78446265">
      <w:pPr>
        <w:pStyle w:val="126"/>
        <w:framePr w:w="9639" w:h="6974" w:hRule="exact" w:wrap="around" w:vAnchor="page" w:hAnchor="page" w:x="1419" w:y="6408" w:anchorLock="1"/>
        <w:textAlignment w:val="bottom"/>
        <w:rPr>
          <w:rFonts w:eastAsia="黑体"/>
          <w:szCs w:val="28"/>
        </w:rPr>
      </w:pPr>
    </w:p>
    <w:p w14:paraId="727FB493">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283F5D38">
      <w:pPr>
        <w:pStyle w:val="126"/>
        <w:framePr w:w="9639" w:h="6974" w:hRule="exact" w:wrap="around" w:vAnchor="page" w:hAnchor="page" w:x="1419" w:y="6408" w:anchorLock="1"/>
        <w:spacing w:before="180" w:line="240" w:lineRule="atLeast"/>
        <w:textAlignment w:val="bottom"/>
        <w:rPr>
          <w:sz w:val="21"/>
          <w:szCs w:val="28"/>
        </w:rPr>
      </w:pPr>
    </w:p>
    <w:p w14:paraId="21E803E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CE9ED6F">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1546B097">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53F14E98">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B6110D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CF9FA3">
      <w:pPr>
        <w:pStyle w:val="90"/>
        <w:spacing w:after="468"/>
      </w:pPr>
      <w:bookmarkStart w:id="5" w:name="BookMark2"/>
      <w:r>
        <w:rPr>
          <w:spacing w:val="320"/>
        </w:rPr>
        <w:t>前</w:t>
      </w:r>
      <w:r>
        <w:t>言</w:t>
      </w:r>
    </w:p>
    <w:p w14:paraId="092BE531">
      <w:pPr>
        <w:pStyle w:val="57"/>
        <w:ind w:firstLine="420"/>
      </w:pPr>
      <w:r>
        <w:rPr>
          <w:rFonts w:hint="eastAsia"/>
        </w:rPr>
        <w:t>本文件按照GB/T 1.1—2020《标准化工作导则  第1部分：标准化文件的结构和起草规则》的规定起草。</w:t>
      </w:r>
    </w:p>
    <w:p w14:paraId="74044C62">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63F345A8">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06C43A31">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海南省医疗保险服务中心、一卡通</w:t>
      </w:r>
      <w:r>
        <w:rPr>
          <w:rFonts w:hint="eastAsia"/>
          <w:color w:val="000000" w:themeColor="text1"/>
          <w14:textFill>
            <w14:solidFill>
              <w14:schemeClr w14:val="tx1"/>
            </w14:solidFill>
          </w14:textFill>
        </w:rPr>
        <w:t>。</w:t>
      </w:r>
    </w:p>
    <w:p w14:paraId="30F91C7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FC55FE3">
      <w:pPr>
        <w:pStyle w:val="57"/>
        <w:ind w:firstLine="420"/>
        <w:rPr>
          <w:color w:val="000000" w:themeColor="text1"/>
          <w14:textFill>
            <w14:solidFill>
              <w14:schemeClr w14:val="tx1"/>
            </w14:solidFill>
          </w14:textFill>
        </w:rPr>
      </w:pPr>
    </w:p>
    <w:p w14:paraId="31FC67D3">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3B27D3C2">
      <w:pPr>
        <w:spacing w:line="20" w:lineRule="exact"/>
        <w:jc w:val="center"/>
        <w:rPr>
          <w:rFonts w:hint="eastAsia" w:ascii="黑体" w:hAnsi="黑体" w:eastAsia="黑体"/>
          <w:sz w:val="32"/>
          <w:szCs w:val="32"/>
        </w:rPr>
      </w:pPr>
      <w:bookmarkStart w:id="6" w:name="BookMark4"/>
    </w:p>
    <w:p w14:paraId="01F3859C">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765953C3">
          <w:pPr>
            <w:pStyle w:val="178"/>
            <w:spacing w:before="312" w:beforeLines="100" w:after="686" w:afterLines="220"/>
            <w:rPr>
              <w:rFonts w:hint="eastAsia"/>
            </w:rPr>
          </w:pPr>
          <w:bookmarkStart w:id="7" w:name="NEW_STAND_NAME"/>
          <w:r>
            <w:rPr>
              <w:rFonts w:hint="eastAsia"/>
            </w:rPr>
            <w:t>医疗个人帐户发放账户维护申请工作指南</w:t>
          </w:r>
        </w:p>
      </w:sdtContent>
    </w:sdt>
    <w:bookmarkEnd w:id="7"/>
    <w:p w14:paraId="5BEF527B">
      <w:pPr>
        <w:pStyle w:val="105"/>
        <w:spacing w:before="312" w:after="312"/>
      </w:pPr>
      <w:bookmarkStart w:id="8" w:name="_Toc24884211"/>
      <w:bookmarkStart w:id="9" w:name="_Toc26986771"/>
      <w:bookmarkStart w:id="10" w:name="_Toc26718930"/>
      <w:bookmarkStart w:id="11" w:name="_Toc17233333"/>
      <w:bookmarkStart w:id="12" w:name="_Toc26648465"/>
      <w:bookmarkStart w:id="13" w:name="_Toc26986530"/>
      <w:bookmarkStart w:id="14" w:name="_Toc17233325"/>
      <w:bookmarkStart w:id="15" w:name="_Toc24884218"/>
      <w:r>
        <w:rPr>
          <w:rFonts w:hint="eastAsia"/>
        </w:rPr>
        <w:t>范围</w:t>
      </w:r>
      <w:bookmarkEnd w:id="8"/>
      <w:bookmarkEnd w:id="9"/>
      <w:bookmarkEnd w:id="10"/>
      <w:bookmarkEnd w:id="11"/>
      <w:bookmarkEnd w:id="12"/>
      <w:bookmarkEnd w:id="13"/>
      <w:bookmarkEnd w:id="14"/>
      <w:bookmarkEnd w:id="15"/>
    </w:p>
    <w:p w14:paraId="073C2628">
      <w:pPr>
        <w:pStyle w:val="57"/>
        <w:ind w:firstLine="420"/>
      </w:pPr>
      <w:bookmarkStart w:id="16" w:name="_Toc17233326"/>
      <w:bookmarkStart w:id="17" w:name="_Toc24884212"/>
      <w:bookmarkStart w:id="18" w:name="_Toc24884219"/>
      <w:bookmarkStart w:id="19" w:name="_Toc17233334"/>
      <w:bookmarkStart w:id="20" w:name="_Toc26648466"/>
      <w:r>
        <w:rPr>
          <w:rFonts w:hint="eastAsia"/>
        </w:rPr>
        <w:t>本文件提供了医疗个人帐户发放账户维护申请的服务对象、实施主体、申请条件、办理材料、办理流程、办理时限、办理途径、服务监督、评价与改进存档等等方面的指导。</w:t>
      </w:r>
    </w:p>
    <w:p w14:paraId="29908E78">
      <w:pPr>
        <w:pStyle w:val="57"/>
        <w:ind w:firstLine="420"/>
      </w:pPr>
      <w:r>
        <w:rPr>
          <w:rFonts w:hint="eastAsia"/>
        </w:rPr>
        <w:t>本文件适用于医疗个人帐户发放账户维护申请的</w:t>
      </w:r>
      <w:r>
        <w:rPr>
          <w:rFonts w:hint="eastAsia" w:ascii="Calibri" w:hAnsi="Calibri"/>
          <w:kern w:val="2"/>
          <w:szCs w:val="21"/>
          <w:lang w:bidi="ar"/>
        </w:rPr>
        <w:t>服务工作</w:t>
      </w:r>
      <w:r>
        <w:rPr>
          <w:rFonts w:hint="eastAsia"/>
        </w:rPr>
        <w:t>。</w:t>
      </w:r>
    </w:p>
    <w:p w14:paraId="29B66571">
      <w:pPr>
        <w:pStyle w:val="105"/>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E5D57">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02FC2C6">
      <w:pPr>
        <w:pStyle w:val="57"/>
        <w:ind w:firstLine="420"/>
      </w:pPr>
      <w:r>
        <w:rPr>
          <w:rFonts w:hint="eastAsia"/>
        </w:rPr>
        <w:t>GB/T 27768  社会保险服务总则</w:t>
      </w:r>
    </w:p>
    <w:p w14:paraId="634FFC8C">
      <w:pPr>
        <w:pStyle w:val="57"/>
        <w:ind w:firstLine="420"/>
      </w:pPr>
      <w:r>
        <w:rPr>
          <w:rFonts w:hint="eastAsia"/>
        </w:rPr>
        <w:t>GB/T 31596.1  社会保险术语  第1部分：通用</w:t>
      </w:r>
    </w:p>
    <w:p w14:paraId="0E985FCD">
      <w:pPr>
        <w:pStyle w:val="57"/>
        <w:ind w:firstLine="420"/>
      </w:pPr>
      <w:r>
        <w:rPr>
          <w:rFonts w:hint="eastAsia"/>
        </w:rPr>
        <w:t>GB/T 31596.4  社会保险术语  第4部分：</w:t>
      </w:r>
      <w:r>
        <w:t>医疗保险</w:t>
      </w:r>
    </w:p>
    <w:p w14:paraId="06A00641">
      <w:pPr>
        <w:pStyle w:val="57"/>
        <w:ind w:firstLine="420"/>
      </w:pPr>
      <w:r>
        <w:rPr>
          <w:rFonts w:hint="eastAsia"/>
        </w:rPr>
        <w:t>GB/T 31599  社会保险业务档案管理规范</w:t>
      </w:r>
    </w:p>
    <w:p w14:paraId="441CA9BB">
      <w:pPr>
        <w:pStyle w:val="57"/>
        <w:ind w:firstLine="420"/>
      </w:pPr>
      <w:r>
        <w:rPr>
          <w:rFonts w:hint="eastAsia"/>
        </w:rPr>
        <w:t>待制定  海南省医疗保险业务档案管理规范</w:t>
      </w:r>
    </w:p>
    <w:p w14:paraId="1AA834AA">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F92D68">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0F4FCBD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034BE7E0">
      <w:pPr>
        <w:pStyle w:val="57"/>
        <w:ind w:firstLine="420"/>
      </w:pPr>
      <w:r>
        <w:rPr>
          <w:rFonts w:hint="eastAsia"/>
        </w:rPr>
        <w:t>自然人。</w:t>
      </w:r>
    </w:p>
    <w:p w14:paraId="120B3E0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5456D76D">
      <w:pPr>
        <w:pStyle w:val="57"/>
        <w:ind w:firstLine="420"/>
      </w:pPr>
      <w:r>
        <w:rPr>
          <w:rFonts w:hint="eastAsia"/>
          <w:color w:val="000000" w:themeColor="text1"/>
          <w14:textFill>
            <w14:solidFill>
              <w14:schemeClr w14:val="tx1"/>
            </w14:solidFill>
          </w14:textFill>
        </w:rPr>
        <w:t>全省各级医疗保险经办机构。</w:t>
      </w:r>
    </w:p>
    <w:p w14:paraId="22935561">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093F297B">
      <w:pPr>
        <w:pStyle w:val="57"/>
        <w:ind w:firstLine="420"/>
      </w:pPr>
      <w:r>
        <w:rPr>
          <w:rFonts w:hint="eastAsia"/>
        </w:rPr>
        <w:t>参加且符合待遇报销条件的城镇职工基本医疗保险参保人。</w:t>
      </w:r>
    </w:p>
    <w:p w14:paraId="572712D9">
      <w:pPr>
        <w:pStyle w:val="105"/>
        <w:spacing w:before="312" w:after="312"/>
      </w:pPr>
      <w:r>
        <w:rPr>
          <w:rFonts w:hint="eastAsia"/>
        </w:rPr>
        <w:t>办理材料</w:t>
      </w:r>
    </w:p>
    <w:p w14:paraId="110AED65">
      <w:pPr>
        <w:pStyle w:val="57"/>
        <w:ind w:firstLine="420"/>
        <w:rPr>
          <w:kern w:val="2"/>
          <w:szCs w:val="21"/>
        </w:rPr>
      </w:pPr>
      <w:r>
        <w:rPr>
          <w:rFonts w:hint="eastAsia"/>
        </w:rPr>
        <w:t>医疗个人帐户发放账户维护申请，需提供以下材料（能共享电子证照的，可以免提交证件材料）：</w:t>
      </w:r>
    </w:p>
    <w:p w14:paraId="6B41F802">
      <w:pPr>
        <w:pStyle w:val="175"/>
      </w:pPr>
      <w:r>
        <w:rPr>
          <w:rFonts w:hint="eastAsia"/>
        </w:rPr>
        <w:t>中华人民共和国社会保障卡。</w:t>
      </w:r>
    </w:p>
    <w:p w14:paraId="5CD44708">
      <w:pPr>
        <w:pStyle w:val="105"/>
        <w:spacing w:before="312" w:after="312"/>
      </w:pPr>
      <w:r>
        <w:rPr>
          <w:rFonts w:hint="eastAsia"/>
        </w:rPr>
        <w:t>办理流程</w:t>
      </w:r>
    </w:p>
    <w:p w14:paraId="56B5E3BC">
      <w:pPr>
        <w:pStyle w:val="106"/>
        <w:spacing w:before="156" w:after="156"/>
        <w:ind w:left="0"/>
      </w:pPr>
      <w:r>
        <w:t>流程</w:t>
      </w:r>
    </w:p>
    <w:p w14:paraId="1AEE775E">
      <w:pPr>
        <w:pStyle w:val="57"/>
        <w:ind w:firstLine="420"/>
      </w:pPr>
      <w:r>
        <w:rPr>
          <w:rFonts w:hint="eastAsia"/>
        </w:rPr>
        <w:t>医疗个人帐户发放账户维护申请流程包括：受理即办结，流程图见附录A。</w:t>
      </w:r>
    </w:p>
    <w:p w14:paraId="49662358">
      <w:pPr>
        <w:pStyle w:val="106"/>
        <w:spacing w:before="156" w:after="156"/>
        <w:ind w:left="0"/>
      </w:pPr>
      <w:r>
        <w:rPr>
          <w:rFonts w:hint="eastAsia"/>
        </w:rPr>
        <w:t>受理</w:t>
      </w:r>
    </w:p>
    <w:p w14:paraId="6E66CAC5">
      <w:pPr>
        <w:pStyle w:val="57"/>
        <w:ind w:firstLine="420"/>
      </w:pPr>
      <w:r>
        <w:rPr>
          <w:rFonts w:hint="eastAsia"/>
        </w:rPr>
        <w:t>申请人提交社会保障卡。</w:t>
      </w:r>
    </w:p>
    <w:p w14:paraId="787DE5AB">
      <w:pPr>
        <w:pStyle w:val="106"/>
        <w:spacing w:before="156" w:after="156"/>
        <w:ind w:left="0"/>
      </w:pPr>
      <w:r>
        <w:t>办结</w:t>
      </w:r>
    </w:p>
    <w:p w14:paraId="10E0C5F0">
      <w:pPr>
        <w:pStyle w:val="57"/>
        <w:ind w:firstLine="420"/>
      </w:pPr>
      <w:r>
        <w:rPr>
          <w:rFonts w:hint="eastAsia"/>
        </w:rPr>
        <w:t>相关业务部门对申请人账户信息进行维护。</w:t>
      </w:r>
    </w:p>
    <w:p w14:paraId="1A16428F">
      <w:pPr>
        <w:pStyle w:val="106"/>
        <w:spacing w:before="156" w:after="156"/>
        <w:ind w:left="0"/>
      </w:pPr>
      <w:r>
        <w:rPr>
          <w:rFonts w:hint="eastAsia"/>
        </w:rPr>
        <w:t>归档</w:t>
      </w:r>
    </w:p>
    <w:p w14:paraId="63042E88">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3279F54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0BC40894">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自受理之日起，1个工作日内办结。</w:t>
      </w:r>
    </w:p>
    <w:p w14:paraId="7A89D06E">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40E14C8">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7B400A34">
      <w:pPr>
        <w:pStyle w:val="57"/>
        <w:ind w:firstLine="420"/>
        <w:rPr>
          <w:color w:val="FF0000"/>
        </w:rPr>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Start w:id="28" w:name="_GoBack"/>
      <w:bookmarkEnd w:id="28"/>
      <w:r>
        <w:rPr>
          <w:rFonts w:hint="eastAsia"/>
        </w:rPr>
        <w:t>。</w:t>
      </w:r>
    </w:p>
    <w:p w14:paraId="62D46D0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0A6723AC">
      <w:pPr>
        <w:pStyle w:val="106"/>
        <w:spacing w:before="156" w:after="156"/>
        <w:ind w:left="0"/>
      </w:pPr>
      <w:r>
        <w:rPr>
          <w:rFonts w:hint="eastAsia"/>
        </w:rPr>
        <w:t>服务</w:t>
      </w:r>
      <w:r>
        <w:t>监督</w:t>
      </w:r>
    </w:p>
    <w:p w14:paraId="31D04292">
      <w:pPr>
        <w:pStyle w:val="57"/>
        <w:ind w:firstLine="420"/>
      </w:pPr>
      <w:r>
        <w:rPr>
          <w:rFonts w:hint="eastAsia"/>
        </w:rPr>
        <w:t>主动向社会公示服务内容、服务流程、投诉渠道等信息，维护服务对象的知情权，接受行政监督和社会监督。</w:t>
      </w:r>
    </w:p>
    <w:p w14:paraId="1D96A0A6">
      <w:pPr>
        <w:pStyle w:val="106"/>
        <w:spacing w:before="156" w:after="156"/>
        <w:ind w:left="0"/>
      </w:pPr>
      <w:r>
        <w:rPr>
          <w:rFonts w:hint="eastAsia"/>
        </w:rPr>
        <w:t>投诉处理</w:t>
      </w:r>
    </w:p>
    <w:p w14:paraId="369DD054">
      <w:pPr>
        <w:pStyle w:val="57"/>
        <w:ind w:firstLine="420"/>
      </w:pPr>
      <w:r>
        <w:rPr>
          <w:rFonts w:hint="eastAsia"/>
        </w:rPr>
        <w:t>提供现场、信函、电话、网络等投诉渠道，有专门部门和工作人员负责调查，处理服务对象的投诉，并将投诉处理结果告知投诉人。</w:t>
      </w:r>
    </w:p>
    <w:p w14:paraId="5F4E000E">
      <w:pPr>
        <w:pStyle w:val="57"/>
        <w:ind w:firstLine="420"/>
      </w:pPr>
      <w:r>
        <w:rPr>
          <w:rFonts w:hint="eastAsia"/>
        </w:rPr>
        <w:t>监督投诉方式：</w:t>
      </w:r>
      <w:r>
        <w:t>0898-12345。</w:t>
      </w:r>
    </w:p>
    <w:p w14:paraId="4E64F53F">
      <w:pPr>
        <w:pStyle w:val="106"/>
        <w:spacing w:before="156" w:after="156"/>
        <w:ind w:left="0"/>
      </w:pPr>
      <w:r>
        <w:rPr>
          <w:rFonts w:hint="eastAsia"/>
        </w:rPr>
        <w:t>服务质量评价与</w:t>
      </w:r>
      <w:r>
        <w:t>改进</w:t>
      </w:r>
    </w:p>
    <w:p w14:paraId="12215BC3">
      <w:pPr>
        <w:pStyle w:val="166"/>
      </w:pPr>
      <w:r>
        <w:rPr>
          <w:rFonts w:hint="eastAsia"/>
        </w:rPr>
        <w:t>采取内部评价与外部评价相结合，开展以服务对象满意度测评为核心要素的服务质量评价。</w:t>
      </w:r>
    </w:p>
    <w:p w14:paraId="24CA1492">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7783D883">
      <w:pPr>
        <w:pStyle w:val="77"/>
        <w:spacing w:after="156"/>
      </w:pPr>
      <w:r>
        <w:br w:type="textWrapping"/>
      </w:r>
      <w:r>
        <w:rPr>
          <w:rFonts w:hint="eastAsia"/>
        </w:rPr>
        <w:t>（规范性）</w:t>
      </w:r>
      <w:r>
        <w:br w:type="textWrapping"/>
      </w:r>
      <w:r>
        <w:rPr>
          <w:rFonts w:hint="eastAsia"/>
        </w:rPr>
        <w:t>医疗个人帐户发放账户维护申请流程图</w:t>
      </w:r>
    </w:p>
    <w:p w14:paraId="181611A1">
      <w:pPr>
        <w:pStyle w:val="57"/>
        <w:ind w:firstLine="420"/>
      </w:pPr>
      <w:r>
        <w:rPr>
          <w:rFonts w:hint="eastAsia"/>
        </w:rPr>
        <w:t>图A.1 为医疗个人帐户发放账户维护申请流程图。</w:t>
      </w:r>
    </w:p>
    <w:p w14:paraId="21AF00AB">
      <w:pPr>
        <w:pStyle w:val="57"/>
        <w:ind w:left="283" w:leftChars="135"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983B98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3904;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3983B985">
                      <w:pPr>
                        <w:jc w:val="center"/>
                      </w:pPr>
                      <w:r>
                        <w:rPr>
                          <w:rFonts w:hint="eastAsia"/>
                        </w:rPr>
                        <w:t>不合格</w:t>
                      </w:r>
                    </w:p>
                  </w:txbxContent>
                </v:textbox>
              </v:shape>
            </w:pict>
          </mc:Fallback>
        </mc:AlternateContent>
      </w:r>
    </w:p>
    <w:p w14:paraId="51B955E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15F4835">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415F4835">
                      <w:pPr>
                        <w:jc w:val="center"/>
                      </w:pPr>
                      <w:r>
                        <w:rPr>
                          <w:rFonts w:hint="eastAsia"/>
                        </w:rPr>
                        <w:t>受理</w:t>
                      </w:r>
                    </w:p>
                  </w:txbxContent>
                </v:textbox>
              </v:shape>
            </w:pict>
          </mc:Fallback>
        </mc:AlternateContent>
      </w:r>
    </w:p>
    <w:p w14:paraId="4E22023F">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1692910</wp:posOffset>
                </wp:positionH>
                <wp:positionV relativeFrom="paragraph">
                  <wp:posOffset>75565</wp:posOffset>
                </wp:positionV>
                <wp:extent cx="0" cy="1228090"/>
                <wp:effectExtent l="76200" t="0" r="57150" b="48260"/>
                <wp:wrapNone/>
                <wp:docPr id="1131904596" name="直接箭头连接符 20"/>
                <wp:cNvGraphicFramePr/>
                <a:graphic xmlns:a="http://schemas.openxmlformats.org/drawingml/2006/main">
                  <a:graphicData uri="http://schemas.microsoft.com/office/word/2010/wordprocessingShape">
                    <wps:wsp>
                      <wps:cNvCnPr/>
                      <wps:spPr bwMode="auto">
                        <a:xfrm>
                          <a:off x="0" y="0"/>
                          <a:ext cx="0" cy="1228296"/>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3pt;margin-top:5.95pt;height:96.7pt;width:0pt;z-index:251673600;mso-width-relative:page;mso-height-relative:page;" filled="f" stroked="t" coordsize="21600,21600" o:gfxdata="UEsDBAoAAAAAAIdO4kAAAAAAAAAAAAAAAAAEAAAAZHJzL1BLAwQUAAAACACHTuJA0ywZ2NgAAAAK&#10;AQAADwAAAGRycy9kb3ducmV2LnhtbE2PT0sDMRDF74LfIYzgzSZbMdjtZgtaxL0otBXpMd2Mm+Am&#10;WTbpPz+9Ix70NjPv8eb3qsXJ9+yAY3IxKCgmAhiGNhoXOgVvm6ebe2Ap62B0HwMqOGOCRX15UenS&#10;xGNY4WGdO0YhIZVagc15KDlPrUWv0yQOGEj7iKPXmdax42bURwr3PZ8KIbnXLtAHqwd8tNh+rvde&#10;QV5uz1a+tw8z97p5fpHuq2mapVLXV4WYA8t4yn9m+MEndKiJaRf3wSTWK5hKKclKQjEDRobfw44G&#10;cXcLvK74/wr1N1BLAwQUAAAACACHTuJACk5Zw/ABAACyAwAADgAAAGRycy9lMm9Eb2MueG1srVNL&#10;jhMxEN0jcQfLe9IfyGjSSmcWCcOGz0jAARzb3W3Jdlm2k04uwQWQWAErhtXsOQ0Mx6DanQQYNrOg&#10;F5Zd9ntV71X1/GJnNNlKHxTYmhaTnBJpOQhl25q+fXP56JySEJkVTIOVNd3LQC8WDx/Me1fJEjrQ&#10;QnqCJDZUvatpF6OrsizwThoWJuCkxcsGvGERj77NhGc9shudlXl+lvXghfPAZQgYXY2X9MDo70MI&#10;TaO4XAHfGGnjyOqlZhElhU65QBep2qaRPL5qmiAj0TVFpTGtmAT362HNFnNWtZ65TvFDCew+JdzR&#10;ZJiymPREtWKRkY1X/1AZxT0EaOKEg8lGIckRVFHkd7x53TEnkxa0OriT6eH/0fKX2ytPlMBJKB4X&#10;s/zJdHZGiWUGO3/7/ubHu0+3X6+/f7z5+e3DsP/ymZTJtN6FCrFLe+XRwuEUHBKt+xcgEMo2EZIf&#10;u8abwRdUSnbJ9v3JdrmLhI9BjtGiLM9LzI58GauOQOdDfCbBkGFT0xA9U20Xl2AtNhd8kdKw7fMQ&#10;R+ARMGS1cKm0Tj3WlvQ1nU3LaQIE0EoMl8Oz4Nv1UnuyZcOUpO9QxV/PPGysSGSRKf3UChL3DsVG&#10;r5httTxgtEUBR0dGb9Yg9smoFMdWJomHsRtm5c9zQv/+1R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MsGdjYAAAACgEAAA8AAAAAAAAAAQAgAAAAIgAAAGRycy9kb3ducmV2LnhtbFBLAQIUABQA&#10;AAAIAIdO4kAKTlnD8AEAALI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1552;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09BCF79E">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88D15D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5952;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688D15DC">
                      <w:pPr>
                        <w:jc w:val="center"/>
                      </w:pPr>
                      <w:r>
                        <w:rPr>
                          <w:rFonts w:hint="eastAsia"/>
                        </w:rPr>
                        <w:t>不合格</w:t>
                      </w:r>
                    </w:p>
                  </w:txbxContent>
                </v:textbox>
              </v:shape>
            </w:pict>
          </mc:Fallback>
        </mc:AlternateContent>
      </w:r>
      <w:r>
        <mc:AlternateContent>
          <mc:Choice Requires="wps">
            <w:drawing>
              <wp:anchor distT="0" distB="0" distL="114300" distR="114300" simplePos="0" relativeHeight="251666432"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3B961E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0048;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33B961E4">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1741BE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B39EE9B">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4B39EE9B">
                      <w:pPr>
                        <w:jc w:val="center"/>
                      </w:pPr>
                      <w:r>
                        <w:rPr>
                          <w:rFonts w:hint="eastAsia"/>
                        </w:rPr>
                        <w:t>决定</w:t>
                      </w:r>
                    </w:p>
                  </w:txbxContent>
                </v:textbox>
              </v:shape>
            </w:pict>
          </mc:Fallback>
        </mc:AlternateContent>
      </w:r>
    </w:p>
    <w:p w14:paraId="4E5E320C">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9504;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0EB2CFC1">
      <w:pPr>
        <w:pStyle w:val="57"/>
        <w:ind w:firstLine="0" w:firstLineChars="0"/>
        <w:jc w:val="center"/>
      </w:pPr>
      <w:r>
        <mc:AlternateContent>
          <mc:Choice Requires="wps">
            <w:drawing>
              <wp:anchor distT="0" distB="0" distL="114300" distR="114300" simplePos="0" relativeHeight="251668480" behindDoc="1" locked="0" layoutInCell="1" allowOverlap="1">
                <wp:simplePos x="0" y="0"/>
                <wp:positionH relativeFrom="column">
                  <wp:posOffset>3340735</wp:posOffset>
                </wp:positionH>
                <wp:positionV relativeFrom="paragraph">
                  <wp:posOffset>132080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3BB90A0F">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05pt;margin-top:10.4pt;height:33.5pt;width:70.35pt;z-index:-251648000;mso-width-relative:page;mso-height-relative:page;" fillcolor="#FFFFFF [3201]" filled="t" stroked="f" coordsize="21600,21600" o:gfxdata="UEsDBAoAAAAAAIdO4kAAAAAAAAAAAAAAAAAEAAAAZHJzL1BLAwQUAAAACACHTuJA12LQAtUAAAAJ&#10;AQAADwAAAGRycy9kb3ducmV2LnhtbE2Py07DMBBF90j8gzVI7KidCEyUxukCiS0SbenajU0c1R5H&#10;tvv8eoYV7GY0R3fO7VaX4NnJpjxFVFAtBDCLQzQTjgq2m/enBlguGo32Ea2Cq82w6u/vOt2aeMZP&#10;e1qXkVEI5lYrcKXMLed5cDbovIizRbp9xxR0oTWN3CR9pvDgeS2E5EFPSB+cnu2bs8NhfQwKdmO4&#10;7b6qOTkT/DN+3K6bbZyUenyoxBJYsZfyB8OvPqlDT077eESTmVfwUsuKUAW1oAoESClp2CtoXhvg&#10;fcf/N+h/AF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XYtAC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3BB90A0F">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CD8C6F9">
      <w:pPr>
        <w:pStyle w:val="57"/>
        <w:ind w:firstLine="0" w:firstLineChars="0"/>
        <w:jc w:val="center"/>
      </w:pPr>
    </w:p>
    <w:p w14:paraId="23563093">
      <w:pPr>
        <w:pStyle w:val="57"/>
        <w:ind w:firstLine="0" w:firstLineChars="0"/>
        <w:jc w:val="center"/>
      </w:pPr>
      <w:r>
        <mc:AlternateContent>
          <mc:Choice Requires="wps">
            <w:drawing>
              <wp:anchor distT="0" distB="0" distL="114300" distR="114300" simplePos="0" relativeHeight="251667456" behindDoc="0" locked="0" layoutInCell="1" allowOverlap="1">
                <wp:simplePos x="0" y="0"/>
                <wp:positionH relativeFrom="column">
                  <wp:posOffset>1043940</wp:posOffset>
                </wp:positionH>
                <wp:positionV relativeFrom="paragraph">
                  <wp:posOffset>110490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5310955">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2pt;margin-top:8.7pt;height:30.75pt;width:103.5pt;z-index:251667456;mso-width-relative:page;mso-height-relative:page;" fillcolor="#FFFFFF [3201]" filled="t" stroked="t" coordsize="21600,21600" o:gfxdata="UEsDBAoAAAAAAIdO4kAAAAAAAAAAAAAAAAAEAAAAZHJzL1BLAwQUAAAACACHTuJAOD1xXdUAAAAJ&#10;AQAADwAAAGRycy9kb3ducmV2LnhtbE2PQU/DMAyF70j8h8hI3FjadWpHaToJJCTEja0XblnjtRWJ&#10;UyXZOv495gQnvyc/PX9udldnxQVDnDwpyFcZCKTem4kGBd3h9WELIiZNRltPqOAbI+za25tG18Yv&#10;9IGXfRoEl1CstYIxpbmWMvYjOh1Xfkbi3ckHpxPbMEgT9MLlzsp1lpXS6Yn4wqhnfBmx/9qfnYK3&#10;8jl9YmfeTbEu/NLJPpxsVOr+Ls+eQCS8pr8w/OIzOrTMdPRnMlFY9uVmw1EWFU8OFFXO4qig2j6C&#10;bBv5/4P2B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D1x&#10;Xd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25310955">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91A2A59">
                            <w:pPr>
                              <w:jc w:val="center"/>
                            </w:pPr>
                            <w:r>
                              <w:rPr>
                                <w:rFonts w:hint="eastAsia"/>
                              </w:rPr>
                              <w:t>归档</w:t>
                            </w:r>
                          </w:p>
                          <w:p w14:paraId="5BD786B3">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591A2A59">
                      <w:pPr>
                        <w:jc w:val="center"/>
                      </w:pPr>
                      <w:r>
                        <w:rPr>
                          <w:rFonts w:hint="eastAsia"/>
                        </w:rPr>
                        <w:t>归档</w:t>
                      </w:r>
                    </w:p>
                    <w:p w14:paraId="5BD786B3">
                      <w:pPr>
                        <w:jc w:val="center"/>
                      </w:pPr>
                    </w:p>
                  </w:txbxContent>
                </v:textbox>
              </v:shape>
            </w:pict>
          </mc:Fallback>
        </mc:AlternateContent>
      </w:r>
    </w:p>
    <w:p w14:paraId="3C924375">
      <w:pPr>
        <w:pStyle w:val="57"/>
        <w:ind w:firstLine="0" w:firstLineChars="0"/>
        <w:jc w:val="center"/>
      </w:pPr>
    </w:p>
    <w:p w14:paraId="5232A0FE">
      <w:pPr>
        <w:pStyle w:val="57"/>
        <w:ind w:firstLine="0" w:firstLineChars="0"/>
        <w:jc w:val="center"/>
      </w:pPr>
    </w:p>
    <w:p w14:paraId="7B5700AB">
      <w:pPr>
        <w:pStyle w:val="57"/>
        <w:ind w:firstLine="0" w:firstLineChars="0"/>
      </w:pPr>
    </w:p>
    <w:p w14:paraId="53C19C80">
      <w:pPr>
        <w:pStyle w:val="57"/>
        <w:ind w:firstLine="0" w:firstLineChars="0"/>
        <w:jc w:val="right"/>
      </w:pPr>
    </w:p>
    <w:p w14:paraId="459DC86B">
      <w:pPr>
        <w:pStyle w:val="84"/>
        <w:spacing w:before="156" w:after="156"/>
      </w:pPr>
      <w:r>
        <w:rPr>
          <w:rFonts w:hint="eastAsia"/>
        </w:rPr>
        <w:t>医疗个人帐户发放账户维护申请流程图</w:t>
      </w:r>
    </w:p>
    <w:p w14:paraId="511E9C9E">
      <w:pPr>
        <w:widowControl/>
        <w:adjustRightInd/>
        <w:spacing w:line="240" w:lineRule="auto"/>
        <w:jc w:val="left"/>
        <w:rPr>
          <w:rFonts w:ascii="宋体" w:hAnsi="Times New Roman"/>
          <w:kern w:val="0"/>
          <w:szCs w:val="20"/>
        </w:rPr>
      </w:pPr>
      <w:r>
        <w:br w:type="page"/>
      </w:r>
    </w:p>
    <w:bookmarkEnd w:id="25"/>
    <w:p w14:paraId="1E6B3AE2">
      <w:pPr>
        <w:pStyle w:val="64"/>
        <w:spacing w:after="156"/>
      </w:pPr>
      <w:bookmarkStart w:id="26" w:name="BookMark6"/>
      <w:r>
        <w:rPr>
          <w:rFonts w:hint="eastAsia"/>
          <w:spacing w:val="105"/>
        </w:rPr>
        <w:t>参考文</w:t>
      </w:r>
      <w:r>
        <w:rPr>
          <w:rFonts w:hint="eastAsia"/>
        </w:rPr>
        <w:t>献</w:t>
      </w:r>
    </w:p>
    <w:p w14:paraId="12BEAFA5">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3865019E">
      <w:pPr>
        <w:pStyle w:val="57"/>
        <w:numPr>
          <w:ilvl w:val="0"/>
          <w:numId w:val="33"/>
        </w:numPr>
        <w:ind w:firstLine="420"/>
      </w:pPr>
      <w:r>
        <w:rPr>
          <w:rFonts w:hint="eastAsia"/>
        </w:rPr>
        <w:t>《关于印发海南省公务员医疗补助办法的通知》( 琼府〔2013〕</w:t>
      </w:r>
      <w:r>
        <w:t> </w:t>
      </w:r>
      <w:r>
        <w:rPr>
          <w:rFonts w:hint="eastAsia"/>
        </w:rPr>
        <w:t>30</w:t>
      </w:r>
      <w:r>
        <w:t> </w:t>
      </w:r>
      <w:r>
        <w:rPr>
          <w:rFonts w:hint="eastAsia"/>
        </w:rPr>
        <w:t>号）</w:t>
      </w:r>
    </w:p>
    <w:p w14:paraId="15FBD87A">
      <w:pPr>
        <w:pStyle w:val="57"/>
        <w:numPr>
          <w:ilvl w:val="0"/>
          <w:numId w:val="33"/>
        </w:numPr>
        <w:ind w:firstLine="420"/>
      </w:pPr>
      <w:r>
        <w:rPr>
          <w:rFonts w:hint="eastAsia"/>
        </w:rPr>
        <w:t>《海南省城镇从业人员基本医疗保险条例》</w:t>
      </w:r>
      <w:r>
        <w:t>2022年3月25日海南</w:t>
      </w:r>
      <w:r>
        <w:rPr>
          <w:rFonts w:ascii="Arial" w:hAnsi="Arial" w:cs="Arial"/>
          <w:color w:val="333333"/>
          <w:szCs w:val="21"/>
          <w:shd w:val="clear" w:color="auto" w:fill="FFFFFF"/>
        </w:rPr>
        <w:t>省人大常委会通过</w:t>
      </w:r>
    </w:p>
    <w:bookmarkEnd w:id="26"/>
    <w:p w14:paraId="79AC7E22">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38C5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3568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C80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98F90">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D4D71">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50FEC">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1CBD3">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8E9F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C8F9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0CA9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C5C11">
    <w:pPr>
      <w:pStyle w:val="62"/>
      <w:rPr>
        <w:rFonts w:hint="eastAsia"/>
      </w:rPr>
    </w:pPr>
    <w:r>
      <w:fldChar w:fldCharType="begin"/>
    </w:r>
    <w:r>
      <w:instrText xml:space="preserve"> STYLEREF  标准文件_文件编号  \* MERGEFORMAT </w:instrText>
    </w:r>
    <w:r>
      <w:fldChar w:fldCharType="separate"/>
    </w:r>
    <w:r>
      <w:t>Q/YLBZ 19—2025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6DDEB">
    <w:pPr>
      <w:pStyle w:val="63"/>
      <w:rPr>
        <w:rFonts w:hint="eastAsia"/>
      </w:rPr>
    </w:pPr>
    <w:r>
      <w:fldChar w:fldCharType="begin"/>
    </w:r>
    <w:r>
      <w:instrText xml:space="preserve"> STYLEREF  标准文件_文件编号 \* MERGEFORMAT </w:instrText>
    </w:r>
    <w:r>
      <w:fldChar w:fldCharType="separate"/>
    </w:r>
    <w:r>
      <w:t>Q/YLBZ 19—2025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D472">
    <w:pPr>
      <w:pStyle w:val="62"/>
      <w:rPr>
        <w:rFonts w:hint="eastAsia"/>
      </w:rPr>
    </w:pPr>
    <w:r>
      <w:fldChar w:fldCharType="begin"/>
    </w:r>
    <w:r>
      <w:instrText xml:space="preserve"> STYLEREF  标准文件_文件编号  \* MERGEFORMAT </w:instrText>
    </w:r>
    <w:r>
      <w:fldChar w:fldCharType="separate"/>
    </w:r>
    <w:r>
      <w:t>Q/YLBZ 19—2025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A899">
    <w:pPr>
      <w:pStyle w:val="63"/>
      <w:rPr>
        <w:rFonts w:hint="eastAsia"/>
      </w:rPr>
    </w:pPr>
    <w:r>
      <w:fldChar w:fldCharType="begin"/>
    </w:r>
    <w:r>
      <w:instrText xml:space="preserve"> STYLEREF  标准文件_文件编号 \* MERGEFORMAT </w:instrText>
    </w:r>
    <w:r>
      <w:fldChar w:fldCharType="separate"/>
    </w:r>
    <w:r>
      <w:t>Q/YLBZ 19—2025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sUNy34m6t8RTHeLRSV0V6qfLONi6bxisAIJ3sgExKAuk88xhGBEyb0QSRXKpuhve+vP3J+aPJNM8Q3+V21mVvw==" w:salt="lmWsBWCTIvtoTgDEw5WH/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19E"/>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2D93"/>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77D52"/>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0D1E"/>
    <w:rsid w:val="00113B1E"/>
    <w:rsid w:val="0011711C"/>
    <w:rsid w:val="00124E4F"/>
    <w:rsid w:val="001260B7"/>
    <w:rsid w:val="0012653E"/>
    <w:rsid w:val="001265CB"/>
    <w:rsid w:val="0012717D"/>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BA0"/>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1D9"/>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1FF1"/>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01A7"/>
    <w:rsid w:val="003331E4"/>
    <w:rsid w:val="003356F0"/>
    <w:rsid w:val="00336C64"/>
    <w:rsid w:val="00337162"/>
    <w:rsid w:val="00340CC9"/>
    <w:rsid w:val="0034194F"/>
    <w:rsid w:val="00342AB5"/>
    <w:rsid w:val="00342E39"/>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1FA6"/>
    <w:rsid w:val="00372F52"/>
    <w:rsid w:val="00373505"/>
    <w:rsid w:val="003758A1"/>
    <w:rsid w:val="00376713"/>
    <w:rsid w:val="00377F44"/>
    <w:rsid w:val="00381815"/>
    <w:rsid w:val="003819AF"/>
    <w:rsid w:val="003820E9"/>
    <w:rsid w:val="00382228"/>
    <w:rsid w:val="003824CE"/>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39EF"/>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3D9"/>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817"/>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4DD3"/>
    <w:rsid w:val="006C5A62"/>
    <w:rsid w:val="006C5D68"/>
    <w:rsid w:val="006C6976"/>
    <w:rsid w:val="006C6DD0"/>
    <w:rsid w:val="006D0247"/>
    <w:rsid w:val="006D04EA"/>
    <w:rsid w:val="006D16C4"/>
    <w:rsid w:val="006D20C6"/>
    <w:rsid w:val="006D266F"/>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776"/>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974"/>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1114"/>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4C13"/>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6D7F"/>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3BEF"/>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B75B7"/>
    <w:rsid w:val="00AC0D03"/>
    <w:rsid w:val="00AC27A6"/>
    <w:rsid w:val="00AC30F7"/>
    <w:rsid w:val="00AC3A5A"/>
    <w:rsid w:val="00AC3EB4"/>
    <w:rsid w:val="00AC4D95"/>
    <w:rsid w:val="00AC5DF4"/>
    <w:rsid w:val="00AD0AEF"/>
    <w:rsid w:val="00AD11B7"/>
    <w:rsid w:val="00AD1A94"/>
    <w:rsid w:val="00AD1C05"/>
    <w:rsid w:val="00AD27A7"/>
    <w:rsid w:val="00AD2FFD"/>
    <w:rsid w:val="00AD4126"/>
    <w:rsid w:val="00AD421C"/>
    <w:rsid w:val="00AD44FA"/>
    <w:rsid w:val="00AE006A"/>
    <w:rsid w:val="00AE070A"/>
    <w:rsid w:val="00AE101C"/>
    <w:rsid w:val="00AE1066"/>
    <w:rsid w:val="00AE2A69"/>
    <w:rsid w:val="00AE365F"/>
    <w:rsid w:val="00AE37E5"/>
    <w:rsid w:val="00AE5EB4"/>
    <w:rsid w:val="00AE729F"/>
    <w:rsid w:val="00AF0C18"/>
    <w:rsid w:val="00AF2214"/>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341F"/>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4394"/>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D68"/>
    <w:rsid w:val="00D25E37"/>
    <w:rsid w:val="00D2661A"/>
    <w:rsid w:val="00D27582"/>
    <w:rsid w:val="00D27EC4"/>
    <w:rsid w:val="00D32719"/>
    <w:rsid w:val="00D33333"/>
    <w:rsid w:val="00D33B6A"/>
    <w:rsid w:val="00D34CCD"/>
    <w:rsid w:val="00D352A2"/>
    <w:rsid w:val="00D4162B"/>
    <w:rsid w:val="00D41EC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83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5A4A"/>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16FA"/>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7E51CA5"/>
    <w:rsid w:val="09153CCC"/>
    <w:rsid w:val="0B886108"/>
    <w:rsid w:val="0BF654DA"/>
    <w:rsid w:val="15504279"/>
    <w:rsid w:val="19295F35"/>
    <w:rsid w:val="1B74679A"/>
    <w:rsid w:val="22721D7A"/>
    <w:rsid w:val="267620C8"/>
    <w:rsid w:val="2DFB5B15"/>
    <w:rsid w:val="32AB6927"/>
    <w:rsid w:val="34222571"/>
    <w:rsid w:val="376744E6"/>
    <w:rsid w:val="3B47709E"/>
    <w:rsid w:val="3EAA0E86"/>
    <w:rsid w:val="460F5A38"/>
    <w:rsid w:val="55DE0E98"/>
    <w:rsid w:val="59E54F9C"/>
    <w:rsid w:val="5C6E536A"/>
    <w:rsid w:val="5D886856"/>
    <w:rsid w:val="61EF80A6"/>
    <w:rsid w:val="62375BD7"/>
    <w:rsid w:val="6278717D"/>
    <w:rsid w:val="63A61260"/>
    <w:rsid w:val="65F51133"/>
    <w:rsid w:val="67FF9D4A"/>
    <w:rsid w:val="6AA43001"/>
    <w:rsid w:val="6CB322FE"/>
    <w:rsid w:val="719A7782"/>
    <w:rsid w:val="739C3AEB"/>
    <w:rsid w:val="77A074E9"/>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79332D84">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157EAE70">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699FD19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B545D"/>
    <w:rsid w:val="001C205A"/>
    <w:rsid w:val="001D5A29"/>
    <w:rsid w:val="001F2222"/>
    <w:rsid w:val="00210B7F"/>
    <w:rsid w:val="00253893"/>
    <w:rsid w:val="00256F57"/>
    <w:rsid w:val="00274C1A"/>
    <w:rsid w:val="002B4AC7"/>
    <w:rsid w:val="002B5CE0"/>
    <w:rsid w:val="002C221E"/>
    <w:rsid w:val="002D3C17"/>
    <w:rsid w:val="002D59EF"/>
    <w:rsid w:val="002D7121"/>
    <w:rsid w:val="00332D80"/>
    <w:rsid w:val="00333AD5"/>
    <w:rsid w:val="00336F91"/>
    <w:rsid w:val="00373505"/>
    <w:rsid w:val="003D4A66"/>
    <w:rsid w:val="003E48C7"/>
    <w:rsid w:val="004424A4"/>
    <w:rsid w:val="00442B88"/>
    <w:rsid w:val="004671DF"/>
    <w:rsid w:val="00473FC9"/>
    <w:rsid w:val="00475B81"/>
    <w:rsid w:val="00481DD2"/>
    <w:rsid w:val="00491933"/>
    <w:rsid w:val="00497486"/>
    <w:rsid w:val="004B4B58"/>
    <w:rsid w:val="004D05CD"/>
    <w:rsid w:val="00513DDF"/>
    <w:rsid w:val="00521F85"/>
    <w:rsid w:val="00530F92"/>
    <w:rsid w:val="005619B3"/>
    <w:rsid w:val="00587B9A"/>
    <w:rsid w:val="005C6321"/>
    <w:rsid w:val="005D7B64"/>
    <w:rsid w:val="00615A00"/>
    <w:rsid w:val="006365F7"/>
    <w:rsid w:val="00681EBF"/>
    <w:rsid w:val="006C139C"/>
    <w:rsid w:val="006D266F"/>
    <w:rsid w:val="00706744"/>
    <w:rsid w:val="00712948"/>
    <w:rsid w:val="007228F7"/>
    <w:rsid w:val="007503EC"/>
    <w:rsid w:val="0075442D"/>
    <w:rsid w:val="00782301"/>
    <w:rsid w:val="00790C58"/>
    <w:rsid w:val="007C1527"/>
    <w:rsid w:val="00801E36"/>
    <w:rsid w:val="00843907"/>
    <w:rsid w:val="00846D64"/>
    <w:rsid w:val="00866762"/>
    <w:rsid w:val="00870230"/>
    <w:rsid w:val="00870674"/>
    <w:rsid w:val="00881BCD"/>
    <w:rsid w:val="0089344F"/>
    <w:rsid w:val="008A2689"/>
    <w:rsid w:val="008D0A9D"/>
    <w:rsid w:val="008F3AF1"/>
    <w:rsid w:val="0090175A"/>
    <w:rsid w:val="00936B91"/>
    <w:rsid w:val="00951A26"/>
    <w:rsid w:val="00960FB8"/>
    <w:rsid w:val="00964C13"/>
    <w:rsid w:val="00971354"/>
    <w:rsid w:val="009950AE"/>
    <w:rsid w:val="009C50AC"/>
    <w:rsid w:val="009C7213"/>
    <w:rsid w:val="00A44E98"/>
    <w:rsid w:val="00A46637"/>
    <w:rsid w:val="00A4798C"/>
    <w:rsid w:val="00AA0BD1"/>
    <w:rsid w:val="00B255C9"/>
    <w:rsid w:val="00B26BF7"/>
    <w:rsid w:val="00B55C66"/>
    <w:rsid w:val="00B7432F"/>
    <w:rsid w:val="00BE4F96"/>
    <w:rsid w:val="00C038F7"/>
    <w:rsid w:val="00C31817"/>
    <w:rsid w:val="00C52771"/>
    <w:rsid w:val="00C74246"/>
    <w:rsid w:val="00C75182"/>
    <w:rsid w:val="00C86552"/>
    <w:rsid w:val="00C966BA"/>
    <w:rsid w:val="00CC08FE"/>
    <w:rsid w:val="00CD42F1"/>
    <w:rsid w:val="00CF170D"/>
    <w:rsid w:val="00D9129B"/>
    <w:rsid w:val="00DA658A"/>
    <w:rsid w:val="00DA69B2"/>
    <w:rsid w:val="00DB4ED4"/>
    <w:rsid w:val="00DD2AAD"/>
    <w:rsid w:val="00DF3589"/>
    <w:rsid w:val="00E22479"/>
    <w:rsid w:val="00E25076"/>
    <w:rsid w:val="00E470C7"/>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6</Pages>
  <Words>195</Words>
  <Characters>226</Characters>
  <Lines>66</Lines>
  <Paragraphs>73</Paragraphs>
  <TotalTime>0</TotalTime>
  <ScaleCrop>false</ScaleCrop>
  <LinksUpToDate>false</LinksUpToDate>
  <CharactersWithSpaces>239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2025-06-27T02:28:23Z</dcterms:modified>
  <dc:title>企业标准</dc:title>
  <cp:revision>357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